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61A98D18" w:rsidR="002A2794" w:rsidRDefault="00B87A3F" w:rsidP="00B87A3F">
      <w:pPr>
        <w:pStyle w:val="Rubrik"/>
      </w:pPr>
      <w:r>
        <w:t xml:space="preserve">Press </w:t>
      </w:r>
      <w:r w:rsidRPr="00B87A3F">
        <w:t>202</w:t>
      </w:r>
      <w:r w:rsidR="00612779">
        <w:t>2</w:t>
      </w:r>
      <w:r w:rsidRPr="00B87A3F">
        <w:t>-</w:t>
      </w:r>
      <w:r w:rsidR="00612779">
        <w:t>0</w:t>
      </w:r>
      <w:r w:rsidR="00194B13">
        <w:t>4</w:t>
      </w:r>
      <w:r w:rsidRPr="00B87A3F">
        <w:t>-</w:t>
      </w:r>
      <w:r w:rsidR="00194B13">
        <w:t>22</w:t>
      </w:r>
    </w:p>
    <w:p w14:paraId="1790898F" w14:textId="1EF9FA22" w:rsidR="00B87A3F" w:rsidRDefault="00B87A3F"/>
    <w:p w14:paraId="0AE41C87" w14:textId="77777777" w:rsidR="00194B13" w:rsidRPr="00194B13" w:rsidRDefault="00194B13" w:rsidP="00194B13">
      <w:pPr>
        <w:rPr>
          <w:rFonts w:ascii="Times New Roman" w:eastAsia="Times New Roman" w:hAnsi="Times New Roman" w:cs="Times New Roman"/>
          <w:lang w:eastAsia="sv-SE"/>
        </w:rPr>
      </w:pPr>
      <w:r w:rsidRPr="00194B13">
        <w:rPr>
          <w:rFonts w:ascii="Segoe UI" w:eastAsia="Times New Roman" w:hAnsi="Segoe UI" w:cs="Segoe UI"/>
          <w:color w:val="000000"/>
          <w:sz w:val="20"/>
          <w:szCs w:val="20"/>
          <w:shd w:val="clear" w:color="auto" w:fill="F8F8F8"/>
          <w:lang w:eastAsia="sv-SE"/>
        </w:rPr>
        <w:t>2022-04-22 12:48:11</w:t>
      </w:r>
    </w:p>
    <w:p w14:paraId="00DF8C27" w14:textId="5FE370EC" w:rsidR="00E75AB4" w:rsidRPr="00194B13" w:rsidRDefault="00E75AB4" w:rsidP="00A502C3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  <w:lang w:val="en-US"/>
        </w:rPr>
      </w:pPr>
      <w:r w:rsidRPr="00194B13">
        <w:rPr>
          <w:rFonts w:ascii="Calibri" w:hAnsi="Calibri" w:cs="Calibri"/>
          <w:b/>
          <w:bCs/>
          <w:color w:val="000000"/>
          <w:sz w:val="27"/>
          <w:szCs w:val="27"/>
          <w:lang w:val="en-US"/>
        </w:rPr>
        <w:t>New Information Letter to the shareholders of Cryptobourse AB #2</w:t>
      </w:r>
    </w:p>
    <w:p w14:paraId="6A4E2EEE" w14:textId="77777777" w:rsidR="00E75AB4" w:rsidRDefault="00E75AB4" w:rsidP="00A502C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724535F0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This is a promised continuation of information that goes out to the shareholders of Cryptobourse AB. We promised information after Easter and here is follow-up information of the five news we have previously informed about. The information letters are sent in two languages ​​as we have both Swedish and English-speaking shareholders. The information is sent out through the digital share register which is currently registered with the Nordic Securities Register (nvr.se).</w:t>
      </w:r>
    </w:p>
    <w:p w14:paraId="64333817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1BFBA698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As part of getting the share register newly registered with Euroclear</w:t>
      </w: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, a process is now underway in our bank that must also approve this and arrange a bank guarantee that Euroclear always requires. This handling takes time even though we are impatient. We believe this handling will be completed in just a few days. We will announce when the shares have been transferred to Euroclear.</w:t>
      </w:r>
    </w:p>
    <w:p w14:paraId="2032DFB3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5ABC9EA2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In connection with the creation of a bank certificate, the company will at the same time be able </w:t>
      </w: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to become public</w:t>
      </w: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, which is required to be able to apply for a stock exchange listing of the company. There will also be a </w:t>
      </w: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reconciliation reservation in the Articles of Association</w:t>
      </w: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, which creates opportunities for future trading in the share.</w:t>
      </w:r>
    </w:p>
    <w:p w14:paraId="111E8712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5B306553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While all this regulatory work is in progress, the company's </w:t>
      </w: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management is now being recruited</w:t>
      </w: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. These are the </w:t>
      </w: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CEO, CFO, Chairman of the Board, IR manager and routines for insider trading in the share.</w:t>
      </w: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In addition, there will be </w:t>
      </w: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new recruitment of member/s to the board.</w:t>
      </w:r>
    </w:p>
    <w:p w14:paraId="6AAC0C4C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6560B612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 xml:space="preserve">In addition, there is an update of the website with all the important information requirements that are set </w:t>
      </w:r>
      <w:proofErr w:type="gramStart"/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with regard to</w:t>
      </w:r>
      <w:proofErr w:type="gramEnd"/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 xml:space="preserve"> IR, which Nasdaq requires for information purposes, primarily to shareholders and the market.</w:t>
      </w:r>
    </w:p>
    <w:p w14:paraId="4A35B10C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08D5F167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We publish information to shareholders in this situation. Eventually, regular press releases will be published via an approved institute. As a shareholder, you can subscribe to these digital press releases completely free of charge.</w:t>
      </w:r>
    </w:p>
    <w:p w14:paraId="129AC04E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55D0398A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The process of listing a company on a Swedish marketplace is detailed and laborious, but the company's management is now preparing in detail to succeed in completing this process.</w:t>
      </w:r>
    </w:p>
    <w:p w14:paraId="303C4EBB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lastRenderedPageBreak/>
        <w:t> </w:t>
      </w:r>
    </w:p>
    <w:p w14:paraId="14A52F7B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================================================ </w:t>
      </w:r>
    </w:p>
    <w:p w14:paraId="201B4978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 w:eastAsia="sv-SE"/>
        </w:rPr>
        <w:t>About Cryptobourse AB</w:t>
      </w:r>
    </w:p>
    <w:p w14:paraId="51DE3485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5491A76F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The company is a betting company that operates primarily in the foreign exchange market. The betting is that those who make a bet on the exchange rate of a currency can very quickly read if the bet has been successful. The company lives under all the regulations set by the authorities within the EU and its vicinity.</w:t>
      </w:r>
    </w:p>
    <w:p w14:paraId="72D13459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================================================ </w:t>
      </w:r>
    </w:p>
    <w:p w14:paraId="5ED2312B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 </w:t>
      </w:r>
    </w:p>
    <w:p w14:paraId="40B51BC2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Contact: If you want to get in touch with the company if you have a special request:</w:t>
      </w:r>
    </w:p>
    <w:p w14:paraId="7EF6B2D8" w14:textId="77777777" w:rsidR="008D6D7F" w:rsidRPr="008D6D7F" w:rsidRDefault="008D6D7F" w:rsidP="008D6D7F">
      <w:pPr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</w:pPr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email to </w:t>
      </w:r>
      <w:hyperlink r:id="rId8" w:history="1">
        <w:r w:rsidRPr="008D6D7F">
          <w:rPr>
            <w:rFonts w:ascii="Calibri" w:eastAsia="Times New Roman" w:hAnsi="Calibri" w:cs="Calibri"/>
            <w:color w:val="954F72"/>
            <w:sz w:val="27"/>
            <w:szCs w:val="27"/>
            <w:u w:val="single"/>
            <w:lang w:val="en-US" w:eastAsia="sv-SE"/>
          </w:rPr>
          <w:t>aktieagare@cryptoboese.se</w:t>
        </w:r>
      </w:hyperlink>
      <w:r w:rsidRPr="008D6D7F">
        <w:rPr>
          <w:rFonts w:ascii="Calibri" w:eastAsia="Times New Roman" w:hAnsi="Calibri" w:cs="Calibri"/>
          <w:color w:val="000000"/>
          <w:sz w:val="27"/>
          <w:szCs w:val="27"/>
          <w:lang w:val="en-US" w:eastAsia="sv-SE"/>
        </w:rPr>
        <w:t>.</w:t>
      </w:r>
    </w:p>
    <w:p w14:paraId="31C7E0B7" w14:textId="77777777" w:rsidR="00E75AB4" w:rsidRPr="001B4D11" w:rsidRDefault="00E75AB4" w:rsidP="00A502C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lang w:val="en-US"/>
        </w:rPr>
      </w:pPr>
    </w:p>
    <w:p w14:paraId="062E4471" w14:textId="77777777" w:rsidR="001B4D11" w:rsidRPr="00E75AB4" w:rsidRDefault="001B4D11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1B4D11" w:rsidRPr="00E7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166EDF"/>
    <w:rsid w:val="00194B13"/>
    <w:rsid w:val="001B4D11"/>
    <w:rsid w:val="002A2794"/>
    <w:rsid w:val="00457176"/>
    <w:rsid w:val="00612779"/>
    <w:rsid w:val="006203ED"/>
    <w:rsid w:val="006E2052"/>
    <w:rsid w:val="00756B6A"/>
    <w:rsid w:val="008D6D7F"/>
    <w:rsid w:val="00A502C3"/>
    <w:rsid w:val="00B344C8"/>
    <w:rsid w:val="00B45534"/>
    <w:rsid w:val="00B66ECC"/>
    <w:rsid w:val="00B87A3F"/>
    <w:rsid w:val="00E75AB4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ieagare@cryptoboese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96475-0523-41A8-9507-D939ED75C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E3BFB-1695-4634-BDB9-38653F6F357F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3.xml><?xml version="1.0" encoding="utf-8"?>
<ds:datastoreItem xmlns:ds="http://schemas.openxmlformats.org/officeDocument/2006/customXml" ds:itemID="{6897F51E-BEEC-4A23-9505-A137322CC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6</cp:revision>
  <dcterms:created xsi:type="dcterms:W3CDTF">2022-07-11T13:02:00Z</dcterms:created>
  <dcterms:modified xsi:type="dcterms:W3CDTF">2022-07-13T10:42:00Z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